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00" w:type="dxa"/>
        <w:tblLook w:val="04A0" w:firstRow="1" w:lastRow="0" w:firstColumn="1" w:lastColumn="0" w:noHBand="0" w:noVBand="1"/>
      </w:tblPr>
      <w:tblGrid>
        <w:gridCol w:w="13860"/>
        <w:gridCol w:w="540"/>
      </w:tblGrid>
      <w:tr w:rsidR="004D31CD" w:rsidRPr="004D31CD" w:rsidTr="004D31CD">
        <w:trPr>
          <w:gridAfter w:val="1"/>
          <w:wAfter w:w="540" w:type="dxa"/>
          <w:trHeight w:val="540"/>
        </w:trPr>
        <w:tc>
          <w:tcPr>
            <w:tcW w:w="1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1CD" w:rsidRDefault="004D31CD" w:rsidP="004D31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  <w:lang w:val="hy-AM"/>
              </w:rPr>
            </w:pPr>
            <w:r w:rsidRPr="004D31CD"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  <w:lang w:val="hy-AM"/>
              </w:rPr>
              <w:t>Դենսիտոմետրիկ հետազոտություն՝ ներառյալ տրաբեկուլյար ոսկրային(TBS)  և  ողերի կոտրվածքների (VFA) գնահատումը դենսիտոմետրիայի ընթացքում</w:t>
            </w:r>
          </w:p>
          <w:p w:rsidR="004D31CD" w:rsidRPr="004D31CD" w:rsidRDefault="004D31CD" w:rsidP="004D31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  <w:lang w:val="hy-AM"/>
              </w:rPr>
            </w:pPr>
          </w:p>
        </w:tc>
      </w:tr>
      <w:tr w:rsidR="004D31CD" w:rsidRPr="004D31CD" w:rsidTr="004D31CD">
        <w:trPr>
          <w:gridAfter w:val="1"/>
          <w:wAfter w:w="540" w:type="dxa"/>
          <w:trHeight w:val="540"/>
        </w:trPr>
        <w:tc>
          <w:tcPr>
            <w:tcW w:w="1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1CD" w:rsidRPr="006F78D9" w:rsidRDefault="004D31CD" w:rsidP="004D31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</w:rPr>
            </w:pPr>
            <w:r w:rsidRPr="006F78D9"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</w:rPr>
              <w:t>Денситометрическое исследование, включая оценку трабекулярной кости (</w:t>
            </w:r>
            <w:r w:rsidRPr="004D31CD"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  <w:lang w:val="en-US"/>
              </w:rPr>
              <w:t>TBS</w:t>
            </w:r>
            <w:r w:rsidRPr="006F78D9"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</w:rPr>
              <w:t>) и переломов позвонков (</w:t>
            </w:r>
            <w:r w:rsidRPr="004D31CD"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  <w:lang w:val="en-US"/>
              </w:rPr>
              <w:t>VFA</w:t>
            </w:r>
            <w:r w:rsidRPr="006F78D9"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</w:rPr>
              <w:t>) во время денситометрии</w:t>
            </w:r>
          </w:p>
          <w:p w:rsidR="004D31CD" w:rsidRPr="006F78D9" w:rsidRDefault="004D31CD" w:rsidP="004D31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D31CD" w:rsidRPr="004D31CD" w:rsidTr="004D31CD">
        <w:trPr>
          <w:trHeight w:val="645"/>
        </w:trPr>
        <w:tc>
          <w:tcPr>
            <w:tcW w:w="14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31CD" w:rsidRPr="004D31CD" w:rsidRDefault="004D31CD" w:rsidP="004D31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proofErr w:type="spellStart"/>
            <w:r w:rsidRPr="004D31CD"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  <w:lang w:val="en-US"/>
              </w:rPr>
              <w:t>Ծածկագիր</w:t>
            </w:r>
            <w:proofErr w:type="spellEnd"/>
            <w:r w:rsidRPr="004D31CD"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  <w:lang w:val="en-US"/>
              </w:rPr>
              <w:t>/</w:t>
            </w:r>
            <w:proofErr w:type="spellStart"/>
            <w:r w:rsidRPr="004D31CD"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  <w:lang w:val="en-US"/>
              </w:rPr>
              <w:t>Код</w:t>
            </w:r>
            <w:proofErr w:type="spellEnd"/>
            <w:r w:rsidRPr="004D31CD"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  <w:lang w:val="en-US"/>
              </w:rPr>
              <w:t xml:space="preserve"> «ԷԱՃԾՁԲ-2025/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  <w:lang w:val="hy-AM"/>
              </w:rPr>
              <w:t>3</w:t>
            </w:r>
            <w:r w:rsidRPr="004D31CD"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  <w:lang w:val="en-US"/>
              </w:rPr>
              <w:t xml:space="preserve">-ԵՊԲՀ»  </w:t>
            </w:r>
          </w:p>
        </w:tc>
      </w:tr>
    </w:tbl>
    <w:p w:rsidR="00001AD4" w:rsidRDefault="00001AD4" w:rsidP="00A43228">
      <w:pPr>
        <w:spacing w:after="0" w:line="240" w:lineRule="auto"/>
        <w:outlineLvl w:val="2"/>
        <w:rPr>
          <w:rFonts w:ascii="Sylfaen" w:eastAsia="Times New Roman" w:hAnsi="Sylfaen" w:cs="Calibri"/>
          <w:b/>
          <w:bCs/>
          <w:color w:val="000000"/>
          <w:lang w:val="hy-AM"/>
        </w:rPr>
      </w:pPr>
    </w:p>
    <w:p w:rsidR="00001AD4" w:rsidRDefault="00001AD4" w:rsidP="00A43228">
      <w:pPr>
        <w:spacing w:after="0" w:line="240" w:lineRule="auto"/>
        <w:outlineLvl w:val="2"/>
        <w:rPr>
          <w:rFonts w:ascii="Sylfaen" w:eastAsia="Times New Roman" w:hAnsi="Sylfaen" w:cs="Calibri"/>
          <w:b/>
          <w:bCs/>
          <w:color w:val="000000"/>
          <w:lang w:val="hy-AM"/>
        </w:rPr>
      </w:pPr>
    </w:p>
    <w:tbl>
      <w:tblPr>
        <w:tblW w:w="15840" w:type="dxa"/>
        <w:tblInd w:w="-545" w:type="dxa"/>
        <w:tblLook w:val="04A0" w:firstRow="1" w:lastRow="0" w:firstColumn="1" w:lastColumn="0" w:noHBand="0" w:noVBand="1"/>
      </w:tblPr>
      <w:tblGrid>
        <w:gridCol w:w="541"/>
        <w:gridCol w:w="1655"/>
        <w:gridCol w:w="2161"/>
        <w:gridCol w:w="1708"/>
        <w:gridCol w:w="732"/>
        <w:gridCol w:w="1247"/>
        <w:gridCol w:w="2341"/>
        <w:gridCol w:w="2452"/>
        <w:gridCol w:w="2193"/>
        <w:gridCol w:w="810"/>
      </w:tblGrid>
      <w:tr w:rsidR="00001AD4" w:rsidRPr="00036D10" w:rsidTr="006F78D9">
        <w:trPr>
          <w:trHeight w:val="10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D4" w:rsidRPr="00EF1793" w:rsidRDefault="00001AD4" w:rsidP="008C5C9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D4" w:rsidRPr="001F7FBD" w:rsidRDefault="00001AD4" w:rsidP="008C5C9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Միջանցիկ</w:t>
            </w:r>
            <w:r w:rsidRPr="001F7FB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ծածկագիրը</w:t>
            </w:r>
            <w:r w:rsidRPr="001F7FB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ըստ</w:t>
            </w:r>
            <w:r w:rsidRPr="001F7FB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ԳՄԱ</w:t>
            </w:r>
            <w:r w:rsidRPr="001F7FB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դասակարգման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D4" w:rsidRDefault="00001AD4" w:rsidP="008C5C9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Անվանում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D4" w:rsidRDefault="00001AD4" w:rsidP="008C5C9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Տեխնիկական բնութագիր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D4" w:rsidRDefault="00001AD4" w:rsidP="008C5C9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Չ/Մ  Е/И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D4" w:rsidRDefault="00001AD4" w:rsidP="008C5C9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Քանակ/ Количество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D4" w:rsidRDefault="00001AD4" w:rsidP="008C5C9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Պլանավորված կանխատեսվող  գնման գին                       /ՀՀ դրամ/                Планируемая цена закупа                           /драм/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AD4" w:rsidRDefault="00001AD4" w:rsidP="008C5C9C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AD4" w:rsidRDefault="00001AD4" w:rsidP="008C5C9C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AD4" w:rsidRDefault="00001AD4" w:rsidP="008C5C9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Е/и</w:t>
            </w:r>
          </w:p>
        </w:tc>
      </w:tr>
      <w:tr w:rsidR="00001AD4" w:rsidRPr="00D10A43" w:rsidTr="006F78D9">
        <w:trPr>
          <w:trHeight w:val="87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D4" w:rsidRPr="00D10A43" w:rsidRDefault="00001AD4" w:rsidP="008C5C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en-US"/>
              </w:rPr>
            </w:pPr>
            <w:r w:rsidRPr="00D10A43">
              <w:rPr>
                <w:rFonts w:ascii="Sylfaen" w:eastAsia="Times New Roman" w:hAnsi="Sylfaen" w:cs="Calibri"/>
                <w:color w:val="000000"/>
                <w:lang w:val="en-US"/>
              </w:rPr>
              <w:t>1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D4" w:rsidRPr="00D10A43" w:rsidRDefault="00001AD4" w:rsidP="008C5C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en-US"/>
              </w:rPr>
            </w:pPr>
            <w:r w:rsidRPr="00D10A43">
              <w:rPr>
                <w:rFonts w:ascii="Sylfaen" w:eastAsia="Times New Roman" w:hAnsi="Sylfaen" w:cs="Calibri"/>
                <w:lang w:val="en-US"/>
              </w:rPr>
              <w:t>85141240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AD4" w:rsidRPr="00D10A43" w:rsidRDefault="00001AD4" w:rsidP="008C5C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highlight w:val="yellow"/>
                <w:lang w:val="hy-AM"/>
              </w:rPr>
            </w:pPr>
            <w:proofErr w:type="spellStart"/>
            <w:r w:rsidRPr="007D4CFF">
              <w:rPr>
                <w:rFonts w:ascii="Sylfaen" w:eastAsia="Times New Roman" w:hAnsi="Sylfaen" w:cs="Calibri"/>
                <w:color w:val="000000"/>
                <w:lang w:val="en-US"/>
              </w:rPr>
              <w:t>Դենսիտոմետրիկ</w:t>
            </w:r>
            <w:proofErr w:type="spellEnd"/>
            <w:r w:rsidRPr="007D4CFF">
              <w:rPr>
                <w:rFonts w:ascii="Sylfaen" w:eastAsia="Times New Roman" w:hAnsi="Sylfaen" w:cs="Calibri"/>
                <w:color w:val="000000"/>
                <w:lang w:val="en-US"/>
              </w:rPr>
              <w:t xml:space="preserve"> </w:t>
            </w:r>
            <w:proofErr w:type="spellStart"/>
            <w:r w:rsidRPr="007D4CFF">
              <w:rPr>
                <w:rFonts w:ascii="Sylfaen" w:eastAsia="Times New Roman" w:hAnsi="Sylfaen" w:cs="Calibri"/>
                <w:color w:val="000000"/>
                <w:lang w:val="en-US"/>
              </w:rPr>
              <w:t>հետազոտություն</w:t>
            </w:r>
            <w:proofErr w:type="spellEnd"/>
            <w:r w:rsidRPr="007D4CFF">
              <w:rPr>
                <w:rFonts w:ascii="Sylfaen" w:eastAsia="Times New Roman" w:hAnsi="Sylfaen" w:cs="Calibri"/>
                <w:color w:val="000000"/>
                <w:lang w:val="en-US"/>
              </w:rPr>
              <w:t xml:space="preserve">՝ </w:t>
            </w:r>
            <w:proofErr w:type="spellStart"/>
            <w:r w:rsidRPr="007D4CFF">
              <w:rPr>
                <w:rFonts w:ascii="Sylfaen" w:eastAsia="Times New Roman" w:hAnsi="Sylfaen" w:cs="Calibri"/>
                <w:color w:val="000000"/>
                <w:lang w:val="en-US"/>
              </w:rPr>
              <w:t>ներառյալ</w:t>
            </w:r>
            <w:proofErr w:type="spellEnd"/>
            <w:r w:rsidRPr="007D4CFF">
              <w:rPr>
                <w:rFonts w:ascii="Sylfaen" w:eastAsia="Times New Roman" w:hAnsi="Sylfaen" w:cs="Calibri"/>
                <w:color w:val="000000"/>
                <w:lang w:val="en-US"/>
              </w:rPr>
              <w:t xml:space="preserve"> </w:t>
            </w:r>
            <w:proofErr w:type="spellStart"/>
            <w:r w:rsidRPr="007D4CFF">
              <w:rPr>
                <w:rFonts w:ascii="Sylfaen" w:eastAsia="Times New Roman" w:hAnsi="Sylfaen" w:cs="Calibri"/>
                <w:color w:val="000000"/>
                <w:lang w:val="en-US"/>
              </w:rPr>
              <w:t>տրաբեկուլյար</w:t>
            </w:r>
            <w:proofErr w:type="spellEnd"/>
            <w:r w:rsidRPr="007D4CFF">
              <w:rPr>
                <w:rFonts w:ascii="Sylfaen" w:eastAsia="Times New Roman" w:hAnsi="Sylfaen" w:cs="Calibri"/>
                <w:color w:val="000000"/>
                <w:lang w:val="en-US"/>
              </w:rPr>
              <w:t xml:space="preserve"> </w:t>
            </w:r>
            <w:proofErr w:type="spellStart"/>
            <w:r w:rsidRPr="007D4CFF">
              <w:rPr>
                <w:rFonts w:ascii="Sylfaen" w:eastAsia="Times New Roman" w:hAnsi="Sylfaen" w:cs="Calibri"/>
                <w:color w:val="000000"/>
                <w:lang w:val="en-US"/>
              </w:rPr>
              <w:t>ոսկրային</w:t>
            </w:r>
            <w:proofErr w:type="spellEnd"/>
            <w:r w:rsidRPr="007D4CFF">
              <w:rPr>
                <w:rFonts w:ascii="Sylfaen" w:eastAsia="Times New Roman" w:hAnsi="Sylfaen" w:cs="Calibri"/>
                <w:color w:val="000000"/>
                <w:lang w:val="en-US"/>
              </w:rPr>
              <w:t xml:space="preserve">(TBS)  և  </w:t>
            </w:r>
            <w:proofErr w:type="spellStart"/>
            <w:r w:rsidRPr="007D4CFF">
              <w:rPr>
                <w:rFonts w:ascii="Sylfaen" w:eastAsia="Times New Roman" w:hAnsi="Sylfaen" w:cs="Calibri"/>
                <w:color w:val="000000"/>
                <w:lang w:val="en-US"/>
              </w:rPr>
              <w:t>ողերի</w:t>
            </w:r>
            <w:proofErr w:type="spellEnd"/>
            <w:r w:rsidRPr="007D4CFF">
              <w:rPr>
                <w:rFonts w:ascii="Sylfaen" w:eastAsia="Times New Roman" w:hAnsi="Sylfaen" w:cs="Calibri"/>
                <w:color w:val="000000"/>
                <w:lang w:val="en-US"/>
              </w:rPr>
              <w:t xml:space="preserve"> </w:t>
            </w:r>
            <w:proofErr w:type="spellStart"/>
            <w:r w:rsidRPr="007D4CFF">
              <w:rPr>
                <w:rFonts w:ascii="Sylfaen" w:eastAsia="Times New Roman" w:hAnsi="Sylfaen" w:cs="Calibri"/>
                <w:color w:val="000000"/>
                <w:lang w:val="en-US"/>
              </w:rPr>
              <w:t>կոտրվածքների</w:t>
            </w:r>
            <w:proofErr w:type="spellEnd"/>
            <w:r w:rsidRPr="007D4CFF">
              <w:rPr>
                <w:rFonts w:ascii="Sylfaen" w:eastAsia="Times New Roman" w:hAnsi="Sylfaen" w:cs="Calibri"/>
                <w:color w:val="000000"/>
                <w:lang w:val="en-US"/>
              </w:rPr>
              <w:t xml:space="preserve"> (VFA) </w:t>
            </w:r>
            <w:proofErr w:type="spellStart"/>
            <w:r w:rsidRPr="007D4CFF">
              <w:rPr>
                <w:rFonts w:ascii="Sylfaen" w:eastAsia="Times New Roman" w:hAnsi="Sylfaen" w:cs="Calibri"/>
                <w:color w:val="000000"/>
                <w:lang w:val="en-US"/>
              </w:rPr>
              <w:t>գնահատումը</w:t>
            </w:r>
            <w:proofErr w:type="spellEnd"/>
            <w:r w:rsidRPr="007D4CFF">
              <w:rPr>
                <w:rFonts w:ascii="Sylfaen" w:eastAsia="Times New Roman" w:hAnsi="Sylfaen" w:cs="Calibri"/>
                <w:color w:val="000000"/>
                <w:lang w:val="en-US"/>
              </w:rPr>
              <w:t xml:space="preserve"> </w:t>
            </w:r>
            <w:proofErr w:type="spellStart"/>
            <w:r w:rsidRPr="007D4CFF">
              <w:rPr>
                <w:rFonts w:ascii="Sylfaen" w:eastAsia="Times New Roman" w:hAnsi="Sylfaen" w:cs="Calibri"/>
                <w:color w:val="000000"/>
                <w:lang w:val="en-US"/>
              </w:rPr>
              <w:t>դենսիտոմետրիայի</w:t>
            </w:r>
            <w:proofErr w:type="spellEnd"/>
            <w:r w:rsidRPr="007D4CFF">
              <w:rPr>
                <w:rFonts w:ascii="Sylfaen" w:eastAsia="Times New Roman" w:hAnsi="Sylfaen" w:cs="Calibri"/>
                <w:color w:val="000000"/>
                <w:lang w:val="en-US"/>
              </w:rPr>
              <w:t xml:space="preserve"> </w:t>
            </w:r>
            <w:proofErr w:type="spellStart"/>
            <w:r w:rsidRPr="007D4CFF">
              <w:rPr>
                <w:rFonts w:ascii="Sylfaen" w:eastAsia="Times New Roman" w:hAnsi="Sylfaen" w:cs="Calibri"/>
                <w:color w:val="000000"/>
                <w:lang w:val="en-US"/>
              </w:rPr>
              <w:t>ընթացքում</w:t>
            </w:r>
            <w:proofErr w:type="spellEnd"/>
            <w:r w:rsidRPr="00573C34">
              <w:rPr>
                <w:rFonts w:ascii="Sylfaen" w:eastAsia="Times New Roman" w:hAnsi="Sylfaen" w:cs="Calibri"/>
                <w:color w:val="000000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D4" w:rsidRPr="00B419A9" w:rsidRDefault="00001AD4" w:rsidP="008C5C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lang w:val="hy-AM"/>
              </w:rPr>
            </w:pPr>
            <w:r w:rsidRPr="00B419A9">
              <w:rPr>
                <w:rFonts w:ascii="Sylfaen" w:eastAsia="Times New Roman" w:hAnsi="Sylfaen" w:cs="Calibri"/>
                <w:b/>
                <w:bCs/>
                <w:lang w:val="hy-AM"/>
              </w:rPr>
              <w:t xml:space="preserve">Տեխնիկական բնութագիրը տես կից </w:t>
            </w:r>
            <w:r w:rsidRPr="00D10A43">
              <w:rPr>
                <w:rFonts w:ascii="Sylfaen" w:eastAsia="Times New Roman" w:hAnsi="Sylfaen" w:cs="Calibri"/>
                <w:b/>
                <w:bCs/>
                <w:lang w:val="hy-AM"/>
              </w:rPr>
              <w:t>Հավելված 1-ում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D4" w:rsidRPr="006F78D9" w:rsidRDefault="006F78D9" w:rsidP="008C5C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hy-AM"/>
              </w:rPr>
            </w:pPr>
            <w:proofErr w:type="spellStart"/>
            <w:r w:rsidRPr="00D10A43">
              <w:rPr>
                <w:rFonts w:ascii="Sylfaen" w:eastAsia="Times New Roman" w:hAnsi="Sylfaen" w:cs="Calibri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D4" w:rsidRPr="00D10A43" w:rsidRDefault="006F78D9" w:rsidP="006F78D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en-US"/>
              </w:rPr>
            </w:pPr>
            <w:r w:rsidRPr="00D10A43">
              <w:rPr>
                <w:rFonts w:ascii="Sylfaen" w:eastAsia="Times New Roman" w:hAnsi="Sylfaen" w:cs="Calibri"/>
                <w:color w:val="000000"/>
                <w:lang w:val="en-US"/>
              </w:rPr>
              <w:t>600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D4" w:rsidRPr="00D10A43" w:rsidRDefault="00001AD4" w:rsidP="008C5C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en-US"/>
              </w:rPr>
            </w:pPr>
            <w:r w:rsidRPr="00D10A43">
              <w:rPr>
                <w:rFonts w:ascii="Sylfaen" w:eastAsia="Times New Roman" w:hAnsi="Sylfaen" w:cs="Calibri"/>
                <w:color w:val="000000"/>
                <w:lang w:val="en-US"/>
              </w:rPr>
              <w:t>6,000,000.00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1AD4" w:rsidRPr="00C64CAB" w:rsidRDefault="00001AD4" w:rsidP="008C5C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64CAB">
              <w:rPr>
                <w:rFonts w:ascii="Sylfaen" w:eastAsia="Times New Roman" w:hAnsi="Sylfaen" w:cs="Calibri"/>
                <w:color w:val="000000"/>
              </w:rPr>
              <w:t>Денситометрическое исследование, включая оценку трабекулярной кости (</w:t>
            </w:r>
            <w:r w:rsidRPr="00C64CAB">
              <w:rPr>
                <w:rFonts w:ascii="Sylfaen" w:eastAsia="Times New Roman" w:hAnsi="Sylfaen" w:cs="Calibri"/>
                <w:color w:val="000000"/>
                <w:lang w:val="en-US"/>
              </w:rPr>
              <w:t>TBS</w:t>
            </w:r>
            <w:r w:rsidRPr="00C64CAB">
              <w:rPr>
                <w:rFonts w:ascii="Sylfaen" w:eastAsia="Times New Roman" w:hAnsi="Sylfaen" w:cs="Calibri"/>
                <w:color w:val="000000"/>
              </w:rPr>
              <w:t>) и переломов позвонков (</w:t>
            </w:r>
            <w:r w:rsidRPr="00C64CAB">
              <w:rPr>
                <w:rFonts w:ascii="Sylfaen" w:eastAsia="Times New Roman" w:hAnsi="Sylfaen" w:cs="Calibri"/>
                <w:color w:val="000000"/>
                <w:lang w:val="en-US"/>
              </w:rPr>
              <w:t>VFA</w:t>
            </w:r>
            <w:r w:rsidRPr="00C64CAB">
              <w:rPr>
                <w:rFonts w:ascii="Sylfaen" w:eastAsia="Times New Roman" w:hAnsi="Sylfaen" w:cs="Calibri"/>
                <w:color w:val="000000"/>
              </w:rPr>
              <w:t>) во время денситометрии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1AD4" w:rsidRDefault="00001AD4" w:rsidP="008C5C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  <w:p w:rsidR="00001AD4" w:rsidRDefault="00001AD4" w:rsidP="008C5C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  <w:p w:rsidR="00001AD4" w:rsidRPr="004721B6" w:rsidRDefault="00001AD4" w:rsidP="008C5C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</w:rPr>
            </w:pPr>
            <w:r w:rsidRPr="004721B6">
              <w:rPr>
                <w:rFonts w:ascii="Sylfaen" w:eastAsia="Times New Roman" w:hAnsi="Sylfaen" w:cs="Calibri"/>
                <w:b/>
                <w:color w:val="000000"/>
              </w:rPr>
              <w:t>Технические характеристики см. в Приложении 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1AD4" w:rsidRDefault="00001AD4" w:rsidP="008C5C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  <w:p w:rsidR="00001AD4" w:rsidRDefault="00001AD4" w:rsidP="008C5C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  <w:p w:rsidR="00001AD4" w:rsidRDefault="00001AD4" w:rsidP="008C5C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  <w:p w:rsidR="00001AD4" w:rsidRDefault="00001AD4" w:rsidP="008C5C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  <w:p w:rsidR="00001AD4" w:rsidRPr="00C64CAB" w:rsidRDefault="00001AD4" w:rsidP="008C5C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</w:rPr>
              <w:t>шт</w:t>
            </w:r>
          </w:p>
        </w:tc>
      </w:tr>
    </w:tbl>
    <w:p w:rsidR="00BB457C" w:rsidRDefault="00BB457C" w:rsidP="00A43228">
      <w:pPr>
        <w:spacing w:after="0" w:line="240" w:lineRule="auto"/>
        <w:outlineLvl w:val="2"/>
        <w:rPr>
          <w:rFonts w:ascii="Sylfaen" w:eastAsia="Times New Roman" w:hAnsi="Sylfaen" w:cs="Calibri"/>
          <w:b/>
          <w:bCs/>
          <w:color w:val="000000"/>
          <w:lang w:val="hy-AM"/>
        </w:rPr>
      </w:pPr>
    </w:p>
    <w:p w:rsidR="00BB457C" w:rsidRDefault="00BB457C" w:rsidP="00A43228">
      <w:pPr>
        <w:spacing w:after="0" w:line="240" w:lineRule="auto"/>
        <w:outlineLvl w:val="2"/>
        <w:rPr>
          <w:rFonts w:ascii="Sylfaen" w:eastAsia="Times New Roman" w:hAnsi="Sylfaen" w:cs="Calibri"/>
          <w:b/>
          <w:bCs/>
          <w:sz w:val="24"/>
          <w:szCs w:val="24"/>
          <w:lang w:val="hy-AM"/>
        </w:rPr>
      </w:pPr>
    </w:p>
    <w:p w:rsidR="004D31CD" w:rsidRDefault="004D31CD" w:rsidP="00A43228">
      <w:pPr>
        <w:spacing w:after="0" w:line="240" w:lineRule="auto"/>
        <w:outlineLvl w:val="2"/>
        <w:rPr>
          <w:rFonts w:ascii="Sylfaen" w:eastAsia="Times New Roman" w:hAnsi="Sylfaen" w:cs="Calibri"/>
          <w:b/>
          <w:bCs/>
          <w:sz w:val="24"/>
          <w:szCs w:val="24"/>
          <w:lang w:val="hy-AM"/>
        </w:rPr>
      </w:pPr>
    </w:p>
    <w:p w:rsidR="004D31CD" w:rsidRDefault="004D31CD" w:rsidP="00A43228">
      <w:pPr>
        <w:spacing w:after="0" w:line="240" w:lineRule="auto"/>
        <w:outlineLvl w:val="2"/>
        <w:rPr>
          <w:rFonts w:ascii="Sylfaen" w:eastAsia="Times New Roman" w:hAnsi="Sylfaen" w:cs="Calibri"/>
          <w:b/>
          <w:bCs/>
          <w:sz w:val="24"/>
          <w:szCs w:val="24"/>
          <w:lang w:val="hy-AM"/>
        </w:rPr>
      </w:pPr>
    </w:p>
    <w:p w:rsidR="004D31CD" w:rsidRDefault="004D31CD" w:rsidP="00A43228">
      <w:pPr>
        <w:spacing w:after="0" w:line="240" w:lineRule="auto"/>
        <w:outlineLvl w:val="2"/>
        <w:rPr>
          <w:rFonts w:ascii="Sylfaen" w:eastAsia="Times New Roman" w:hAnsi="Sylfaen" w:cs="Calibri"/>
          <w:b/>
          <w:bCs/>
          <w:sz w:val="24"/>
          <w:szCs w:val="24"/>
          <w:lang w:val="hy-AM"/>
        </w:rPr>
      </w:pPr>
    </w:p>
    <w:p w:rsidR="00001AD4" w:rsidRPr="00EA4DE0" w:rsidRDefault="00001AD4" w:rsidP="006F78D9">
      <w:pPr>
        <w:spacing w:after="0" w:line="240" w:lineRule="auto"/>
        <w:ind w:right="360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hy-AM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hy-AM" w:eastAsia="ru-RU"/>
        </w:rPr>
        <w:lastRenderedPageBreak/>
        <w:t xml:space="preserve">            </w:t>
      </w:r>
      <w:r w:rsidR="00036D10">
        <w:rPr>
          <w:rFonts w:ascii="Times New Roman" w:eastAsia="Times New Roman" w:hAnsi="Times New Roman" w:cs="Times New Roman"/>
          <w:b/>
          <w:bCs/>
          <w:sz w:val="24"/>
          <w:szCs w:val="24"/>
          <w:lang w:val="hy-AM" w:eastAsia="ru-RU"/>
        </w:rPr>
        <w:t>ՏԵԽՆԻԿԱԿԱՆ ԲՆՈՒԹԱԳԻՐ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hy-AM" w:eastAsia="ru-RU"/>
        </w:rPr>
        <w:t xml:space="preserve">                                                                                             </w:t>
      </w:r>
      <w:r w:rsidRPr="00316799">
        <w:rPr>
          <w:rFonts w:ascii="Sylfaen" w:eastAsia="Times New Roman" w:hAnsi="Sylfaen" w:cs="Calibri"/>
          <w:b/>
          <w:bCs/>
          <w:sz w:val="24"/>
          <w:szCs w:val="24"/>
          <w:lang w:val="hy-AM"/>
        </w:rPr>
        <w:t>Հավելված 1</w:t>
      </w:r>
    </w:p>
    <w:p w:rsidR="00036D10" w:rsidRDefault="00036D10" w:rsidP="00036D1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hy-AM" w:eastAsia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9"/>
      </w:tblGrid>
      <w:tr w:rsidR="00036D10" w:rsidTr="00B419A9">
        <w:tc>
          <w:tcPr>
            <w:tcW w:w="15559" w:type="dxa"/>
          </w:tcPr>
          <w:p w:rsidR="00036D10" w:rsidRPr="00036D10" w:rsidRDefault="00036D10" w:rsidP="00036D10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</w:pPr>
            <w:r w:rsidRPr="00036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>Տեխնիկական հատկանիշները տրա</w:t>
            </w: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>բ</w:t>
            </w:r>
            <w:r w:rsidRPr="00036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 xml:space="preserve">եկուլյար ոսկրային գնահատման </w:t>
            </w: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 xml:space="preserve">ռեժիմ </w:t>
            </w:r>
            <w:r w:rsidRPr="00036D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>(TBS) դենսիտոմետրի</w:t>
            </w: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>այի ընթացքում</w:t>
            </w:r>
          </w:p>
          <w:p w:rsidR="00036D10" w:rsidRPr="00C653AC" w:rsidRDefault="00036D10" w:rsidP="00036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>Ն</w:t>
            </w: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պատակ:</w:t>
            </w:r>
          </w:p>
          <w:p w:rsidR="00036D10" w:rsidRPr="00C653AC" w:rsidRDefault="00036D10" w:rsidP="00036D10">
            <w:pPr>
              <w:numPr>
                <w:ilvl w:val="0"/>
                <w:numId w:val="1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TBS-ը օգտագործվում է ոսկրի միկրոա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ստրուկտուրայի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գնահատման և կոտրվ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ածքների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ռիսկի 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գնահատման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համար, լրացնելով ստանդարտ ոսկրային միներալային խտության (BMD) չափումները, որոնք ստացվում են երկու էներգիայի ռենտգենային անալիզի (DXA) միջոցով։</w:t>
            </w:r>
          </w:p>
          <w:p w:rsidR="00036D10" w:rsidRPr="00C653AC" w:rsidRDefault="00036D10" w:rsidP="00036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Հիմք:</w:t>
            </w:r>
          </w:p>
          <w:p w:rsidR="00036D10" w:rsidRPr="00C653AC" w:rsidRDefault="00036D10" w:rsidP="00036D10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TBS-ը գնահատում է տրաբեկուլյար ոսկրի տեքստուրան՝ վերլուծելով DXA պատկերների պիքսելների մոխրագույն մակարդակները, </w:t>
            </w:r>
          </w:p>
          <w:p w:rsidR="00036D10" w:rsidRPr="00C653AC" w:rsidRDefault="00036D10" w:rsidP="00036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Ճշգրտում:</w:t>
            </w:r>
          </w:p>
          <w:p w:rsidR="00036D10" w:rsidRPr="00C653AC" w:rsidRDefault="00036D10" w:rsidP="00036D10">
            <w:pPr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TBS-ը հաշվարկվում է միաժամանակ DXA պատկերների միջոցով, L1-L4 շրջանում, և չի պահանջում լրացուցիչ ճառագայթ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ու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մ </w:t>
            </w:r>
          </w:p>
          <w:p w:rsidR="00036D10" w:rsidRPr="00C653AC" w:rsidRDefault="00036D10" w:rsidP="00036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Կրիտիկական արժեք:</w:t>
            </w:r>
          </w:p>
          <w:p w:rsidR="00036D10" w:rsidRPr="00C653AC" w:rsidRDefault="00036D10" w:rsidP="00036D10">
            <w:pPr>
              <w:numPr>
                <w:ilvl w:val="0"/>
                <w:numId w:val="4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Բարձր TBS արժեքները ցույց են տալիս ոսկրի ավելի լավ միկրո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ստրուկտուրա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մինչդեռ ցածր արժեքները կարող են նշանակել ոսկրի որակի անկում և 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բարձր կոտրվածքների ռիսկ։</w:t>
            </w:r>
          </w:p>
          <w:p w:rsidR="00036D10" w:rsidRPr="00C653AC" w:rsidRDefault="00036D10" w:rsidP="00036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Միավորներ:</w:t>
            </w:r>
          </w:p>
          <w:p w:rsidR="00036D10" w:rsidRPr="00C653AC" w:rsidRDefault="00036D10" w:rsidP="00036D1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TBS արժեքները արտահայտվում են, սովորաբար 0.0-ից 1.0 կամ ավելի բարձր, ավելի բարձր ցուցանիշը նշանակում է ավելի լավ ոսկրային որակ։</w:t>
            </w:r>
          </w:p>
          <w:p w:rsidR="00036D10" w:rsidRPr="00C653AC" w:rsidRDefault="00036D10" w:rsidP="00036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Վիճակագրություն:</w:t>
            </w:r>
          </w:p>
          <w:p w:rsidR="00036D10" w:rsidRPr="00C653AC" w:rsidRDefault="00036D10" w:rsidP="00036D10">
            <w:pPr>
              <w:numPr>
                <w:ilvl w:val="0"/>
                <w:numId w:val="6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Պետք է օգտագործել DXA սարքավորում, որը ապահովված է և հարմարեցվածTBS ծրագրին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։</w:t>
            </w:r>
          </w:p>
          <w:p w:rsidR="00036D10" w:rsidRPr="00C653AC" w:rsidRDefault="00036D10" w:rsidP="00036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 Պացիենտների նախապատրաստում:</w:t>
            </w:r>
          </w:p>
          <w:p w:rsidR="00036D10" w:rsidRPr="00C653AC" w:rsidRDefault="00036D10" w:rsidP="00036D10">
            <w:pPr>
              <w:numPr>
                <w:ilvl w:val="0"/>
                <w:numId w:val="7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DXA-ի նման, պացիենտները պետք է կրեն ազատ հագուստ, և ցանկացած մետաղական իրեր (օրինակ՝ զարդեր) պետք է հեռացվեն՝ պատկերի խոչընդոտներ առաջացնելուց խուսափելու համար։</w:t>
            </w:r>
          </w:p>
          <w:p w:rsidR="00036D10" w:rsidRPr="00C653AC" w:rsidRDefault="00036D10" w:rsidP="00036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 TBS-ի վրա ազդող գործոններ:</w:t>
            </w:r>
          </w:p>
          <w:p w:rsidR="00036D10" w:rsidRPr="00C653AC" w:rsidRDefault="00036D10" w:rsidP="00036D10">
            <w:pPr>
              <w:numPr>
                <w:ilvl w:val="0"/>
                <w:numId w:val="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TBS-ի վրա կարող են ազդել մի շարք գործոններ, այդ թվում՝ տարիքը, սեռը, մարմնի զանգվածի ցուցանիշը (BMI) և որոշ բժշկական վիճակներ։</w:t>
            </w:r>
          </w:p>
          <w:p w:rsidR="00036D10" w:rsidRPr="00C653AC" w:rsidRDefault="00036D10" w:rsidP="00036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9. </w:t>
            </w: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>կլինիկայում</w:t>
            </w: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օգտագործում:</w:t>
            </w:r>
          </w:p>
          <w:p w:rsidR="00036D10" w:rsidRPr="00C653AC" w:rsidRDefault="00036D10" w:rsidP="00036D10">
            <w:pPr>
              <w:numPr>
                <w:ilvl w:val="0"/>
                <w:numId w:val="9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TBS-ը կարող է լինել առանձնահատուկ օգտակար՝ կոտրվածքների ռիսկը գնահատելու համար օստեոպենիա ունեցող կամ նորմալ BMD ունեցող պացիենտների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ն և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այլ ռիսկի գործոններ ունեցող անձանց համար։</w:t>
            </w:r>
          </w:p>
          <w:p w:rsidR="00036D10" w:rsidRPr="00C653AC" w:rsidRDefault="00036D10" w:rsidP="00036D10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</w:pPr>
          </w:p>
          <w:p w:rsidR="00036D10" w:rsidRPr="00C653AC" w:rsidRDefault="00036D10" w:rsidP="00036D10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>TBS-ի և ստանդարտ Z կամ T-կետերի համատեղ չափման առավելությունները</w:t>
            </w:r>
          </w:p>
          <w:p w:rsidR="00036D10" w:rsidRPr="00C653AC" w:rsidRDefault="00036D10" w:rsidP="00036D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TBS-ի (Տրաբեկուլյար ոսկրային գնահատում) և DXA-ի միջոցով ստանդարտ Z կամ T-կետերի համատեղ չափումը մի շարք առավելություններ ունի՝</w:t>
            </w:r>
          </w:p>
          <w:p w:rsidR="00036D10" w:rsidRPr="00C653AC" w:rsidRDefault="00036D10" w:rsidP="00036D10">
            <w:pPr>
              <w:numPr>
                <w:ilvl w:val="0"/>
                <w:numId w:val="11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Ավելի ամբողջական գնահատում:</w:t>
            </w:r>
          </w:p>
          <w:p w:rsidR="00036D10" w:rsidRPr="00C653AC" w:rsidRDefault="00036D10" w:rsidP="00036D10">
            <w:pPr>
              <w:numPr>
                <w:ilvl w:val="1"/>
                <w:numId w:val="11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 և T-ցուցիչները ցուցադրում են ոսկրի միներալային խտությունը, մինչդեռ TBS-ը գնահատում է ոսկրի միկրոա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ստրուկտուրան և որակը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ինչը թույլ է տալիս ավելի մանրամասն պատկերացում ունենալ ոսկրի առողջության մասին:</w:t>
            </w:r>
          </w:p>
          <w:p w:rsidR="00036D10" w:rsidRPr="00C653AC" w:rsidRDefault="00036D10" w:rsidP="00036D10">
            <w:pPr>
              <w:numPr>
                <w:ilvl w:val="0"/>
                <w:numId w:val="11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Կոտրվ</w:t>
            </w: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>ածքների</w:t>
            </w: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ռիսկի ավելի ճշգրիտ կանխատեսում:</w:t>
            </w:r>
          </w:p>
          <w:p w:rsidR="00036D10" w:rsidRPr="00C653AC" w:rsidRDefault="00036D10" w:rsidP="00036D10">
            <w:pPr>
              <w:numPr>
                <w:ilvl w:val="1"/>
                <w:numId w:val="11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TBS-ի օգտագործումը, զուգորդված BMD-ի հետ, կարող է բարելավել կոտրվ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ածքների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ռիսկի գնահատման ճշգրտությունը, հատկապես նրանց համար, ովքեր ունեն նորմալ BMD, սակայն այլ ռիսկային գործոններ:</w:t>
            </w:r>
          </w:p>
          <w:p w:rsidR="00036D10" w:rsidRPr="00C653AC" w:rsidRDefault="00036D10" w:rsidP="00036D10">
            <w:pPr>
              <w:numPr>
                <w:ilvl w:val="0"/>
                <w:numId w:val="11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Միկրո</w:t>
            </w: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>ստրուկտուրայի</w:t>
            </w: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որակի գնահատում:</w:t>
            </w:r>
          </w:p>
          <w:p w:rsidR="00036D10" w:rsidRPr="00C653AC" w:rsidRDefault="00036D10" w:rsidP="00036D10">
            <w:pPr>
              <w:numPr>
                <w:ilvl w:val="1"/>
                <w:numId w:val="11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TBS-ն ի վիճակի է 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հայտնաբերել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այնպիսի դեպքերը, երբ BMD-ն նորմալ է, սակայն ոսկրի որակը (միկրո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ստրուկտուրան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վնասված է, ինչը ավելացնում է կոտրվելու ռիսկը:</w:t>
            </w:r>
          </w:p>
          <w:p w:rsidR="00036D10" w:rsidRPr="00C653AC" w:rsidRDefault="00036D10" w:rsidP="00036D10">
            <w:pPr>
              <w:numPr>
                <w:ilvl w:val="0"/>
                <w:numId w:val="11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Բարձրացնել բժշկական որոշումների </w:t>
            </w: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>որակը</w:t>
            </w: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036D10" w:rsidRPr="00C653AC" w:rsidRDefault="00036D10" w:rsidP="00036D10">
            <w:pPr>
              <w:numPr>
                <w:ilvl w:val="1"/>
                <w:numId w:val="11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Համակցված TBS և BMD տվյալները ավելի տեղեկացված կլինիկական որոշումներ ընդունելու հնարավորություն են տալիս, ինչը կարող է նպաստել բուժման առավել արդյունավետ մոտեցումների ընտրությանը:</w:t>
            </w:r>
          </w:p>
          <w:p w:rsidR="00036D10" w:rsidRPr="00C653AC" w:rsidRDefault="00036D10" w:rsidP="00036D10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6D10" w:rsidRPr="00C653AC" w:rsidRDefault="00036D10" w:rsidP="00036D10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Vertebral Fracture Assessment (VFA) </w:t>
            </w:r>
          </w:p>
          <w:p w:rsidR="00036D10" w:rsidRPr="00C653AC" w:rsidRDefault="00036D10" w:rsidP="00036D10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>Ողերի կոտրվածքների գնահատում</w:t>
            </w:r>
          </w:p>
          <w:p w:rsidR="00036D10" w:rsidRPr="00C653AC" w:rsidRDefault="00036D10" w:rsidP="00036D10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</w:pPr>
          </w:p>
          <w:p w:rsidR="00036D10" w:rsidRPr="00C653AC" w:rsidRDefault="00036D10" w:rsidP="00036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Նպատակ:</w:t>
            </w:r>
          </w:p>
          <w:p w:rsidR="00036D10" w:rsidRPr="00C653AC" w:rsidRDefault="00036D10" w:rsidP="00036D10">
            <w:pPr>
              <w:numPr>
                <w:ilvl w:val="0"/>
                <w:numId w:val="12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VFA-ն օգտագործվում է ողնաշարի կոտրվածքների գնահատման համար՝ հատկապես օստեոպորոզ ունեցող պացիենտներին, </w:t>
            </w:r>
          </w:p>
          <w:p w:rsidR="00036D10" w:rsidRPr="00C653AC" w:rsidRDefault="00036D10" w:rsidP="00036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Հիմունք:</w:t>
            </w:r>
          </w:p>
          <w:p w:rsidR="00036D10" w:rsidRPr="00C653AC" w:rsidRDefault="00036D10" w:rsidP="00036D10">
            <w:pPr>
              <w:numPr>
                <w:ilvl w:val="0"/>
                <w:numId w:val="13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VFA-ն օգտագործում է DXA սարքավորումներ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ի վրա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որպեսզի ձեռք բերվեն պատկերներ ողնաշարի (հիմնականում </w:t>
            </w:r>
            <w:proofErr w:type="spellStart"/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</w:t>
            </w:r>
            <w:proofErr w:type="spellEnd"/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1-L4) շրջանում և գնահատվ</w:t>
            </w:r>
            <w:proofErr w:type="spellStart"/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ողնաշարի շերտավոր կառուցվածքը:</w:t>
            </w:r>
          </w:p>
          <w:p w:rsidR="00036D10" w:rsidRPr="00C653AC" w:rsidRDefault="00036D10" w:rsidP="00036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Ճշգրտում:</w:t>
            </w:r>
          </w:p>
          <w:p w:rsidR="00036D10" w:rsidRPr="00C653AC" w:rsidRDefault="00036D10" w:rsidP="00036D10">
            <w:pPr>
              <w:numPr>
                <w:ilvl w:val="0"/>
                <w:numId w:val="14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VFA-ն իրականացվում է համընթաց DXA հետազոտության ընթացքում, ինչը նշանակում է, որ լրացուցիչ ճառագայթման անհրաժեշտություն չկա, 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ինչպիսին է Ռենտգեն հետազոտության ժամանակ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36D10" w:rsidRPr="00C653AC" w:rsidRDefault="00036D10" w:rsidP="00036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Հնարավորություններ:</w:t>
            </w:r>
          </w:p>
          <w:p w:rsidR="00036D10" w:rsidRPr="00C653AC" w:rsidRDefault="00036D10" w:rsidP="00036D10">
            <w:pPr>
              <w:numPr>
                <w:ilvl w:val="0"/>
                <w:numId w:val="15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VFA-ն կարող է հայտնաբերել նախկինում չճշտված կոտրվածքները, որոնք կարող են չունենալ ակնառու կլինիկական նշաններ:</w:t>
            </w:r>
          </w:p>
          <w:p w:rsidR="00036D10" w:rsidRPr="00C653AC" w:rsidRDefault="00036D10" w:rsidP="00036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Դիտարկում:</w:t>
            </w:r>
          </w:p>
          <w:p w:rsidR="00036D10" w:rsidRPr="00C653AC" w:rsidRDefault="00036D10" w:rsidP="00036D10">
            <w:pPr>
              <w:numPr>
                <w:ilvl w:val="0"/>
                <w:numId w:val="16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VFA-ի միջոցով գնահատվում են ողնաշարի կոտրվածքների ծանրությունը, ինչը կարող է ազդել պացիենտի բուժման ռազմավարության ընտրության վրա:</w:t>
            </w:r>
          </w:p>
          <w:p w:rsidR="00036D10" w:rsidRPr="00C653AC" w:rsidRDefault="00036D10" w:rsidP="00036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Կենսաբառեր:</w:t>
            </w:r>
          </w:p>
          <w:p w:rsidR="00036D10" w:rsidRPr="00C653AC" w:rsidRDefault="00036D10" w:rsidP="00036D10">
            <w:pPr>
              <w:numPr>
                <w:ilvl w:val="0"/>
                <w:numId w:val="17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VFA-ն առաջարկում է միանման և հաստատուն գնահատում, քանի որ այն օգտագործում է DXA-ի ստանդարտ մեթոդները:</w:t>
            </w:r>
          </w:p>
          <w:p w:rsidR="00036D10" w:rsidRPr="00C653AC" w:rsidRDefault="00036D10" w:rsidP="00036D10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</w:pPr>
          </w:p>
          <w:p w:rsidR="00036D10" w:rsidRPr="00C653AC" w:rsidRDefault="00036D10" w:rsidP="00036D10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>Vertebral Fracture Assessment-ի առավելությունները DXA ստանդարտ չափումների համատեղման մեջ</w:t>
            </w:r>
          </w:p>
          <w:p w:rsidR="00036D10" w:rsidRPr="00C653AC" w:rsidRDefault="00036D10" w:rsidP="00036D10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</w:pPr>
          </w:p>
          <w:p w:rsidR="00036D10" w:rsidRPr="00C653AC" w:rsidRDefault="00036D10" w:rsidP="00036D10">
            <w:pPr>
              <w:numPr>
                <w:ilvl w:val="0"/>
                <w:numId w:val="1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Հիմնարար տեղեկատվություն:</w:t>
            </w:r>
          </w:p>
          <w:p w:rsidR="00036D10" w:rsidRPr="00C653AC" w:rsidRDefault="00036D10" w:rsidP="00036D10">
            <w:pPr>
              <w:numPr>
                <w:ilvl w:val="1"/>
                <w:numId w:val="1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VFA-ն թույլ է տալիս բժիշկներին ավելի ճիշտ գնահատել ողնաշարի առողջությունը և այն փաստը, թե արդյոք տվյալ պացիենտը ունեցել է նախկին կոտրվածքներ, ինչը կարևոր է բուժման որոշումների ընդունման համար:</w:t>
            </w:r>
          </w:p>
          <w:p w:rsidR="00036D10" w:rsidRPr="00C653AC" w:rsidRDefault="00036D10" w:rsidP="00036D10">
            <w:pPr>
              <w:numPr>
                <w:ilvl w:val="0"/>
                <w:numId w:val="1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Բարձրացնել կոտրվելու ռիսկի գնահատման ճշգրտությունը:</w:t>
            </w:r>
          </w:p>
          <w:p w:rsidR="00036D10" w:rsidRPr="00C653AC" w:rsidRDefault="00036D10" w:rsidP="00036D10">
            <w:pPr>
              <w:numPr>
                <w:ilvl w:val="1"/>
                <w:numId w:val="1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VFA-ն, զուգորդված DXA-ի հետ, կարող է բարելավել կոտրվելու ռիսկի գնահատման ընդհանուր ճշգրտությունը, հատկապես պացիենտների համար, ովքեր ունեն նորմալ BMD, սակայն ցուցադրում են այլ ռիսկային գործոններ:</w:t>
            </w:r>
          </w:p>
          <w:p w:rsidR="00036D10" w:rsidRPr="00C653AC" w:rsidRDefault="00036D10" w:rsidP="00036D10">
            <w:pPr>
              <w:numPr>
                <w:ilvl w:val="0"/>
                <w:numId w:val="1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Անհրաժեշտության դեպքում արդյունավետ բուժում:</w:t>
            </w:r>
          </w:p>
          <w:p w:rsidR="00036D10" w:rsidRPr="00C653AC" w:rsidRDefault="00036D10" w:rsidP="00036D10">
            <w:pPr>
              <w:numPr>
                <w:ilvl w:val="1"/>
                <w:numId w:val="1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VFA-ն կարող է հաստատել կամ հերքել ողնաշարի վնասվածքները, ինչը կարող է նպաստել վաղօրոք և արդյունավետ բուժման սկսմանը:</w:t>
            </w:r>
          </w:p>
          <w:p w:rsidR="00036D10" w:rsidRPr="00C653AC" w:rsidRDefault="00036D10" w:rsidP="00036D10">
            <w:pPr>
              <w:numPr>
                <w:ilvl w:val="0"/>
                <w:numId w:val="1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Լրացուցիչ տեղեկություններ բուժման պլանավորման համար:</w:t>
            </w:r>
          </w:p>
          <w:p w:rsidR="00036D10" w:rsidRPr="00C653AC" w:rsidRDefault="00036D10" w:rsidP="00036D10">
            <w:pPr>
              <w:numPr>
                <w:ilvl w:val="1"/>
                <w:numId w:val="1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VFA-ն և DXA-ն միասին ապահովում են համապարփակ պատկերացում ոսկրային առողջության մասին, որը թույլ է տալիս բժշկական մասնագետներին ավելի հիմնավորված որոշումներ ընդունել բուժման ուղու վերաբերյալ:</w:t>
            </w:r>
          </w:p>
          <w:p w:rsidR="00036D10" w:rsidRPr="00C653AC" w:rsidRDefault="00036D10" w:rsidP="00036D10">
            <w:pPr>
              <w:numPr>
                <w:ilvl w:val="0"/>
                <w:numId w:val="1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Ռիսկի գործոնների համատեղ գնահատում:</w:t>
            </w:r>
          </w:p>
          <w:p w:rsidR="00036D10" w:rsidRPr="00C653AC" w:rsidRDefault="00036D10" w:rsidP="00036D10">
            <w:pPr>
              <w:numPr>
                <w:ilvl w:val="1"/>
                <w:numId w:val="1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VFA-ն և DXA-ն կարող են միասին ապահովել միավորված տեսք, որը ներառում է ինչպես միներալային խտությունը, այնպես էլ ողնաշարի կառուցվածքը, ինչը բարձրացնում է գնահատման բազմակողմանիությունը:</w:t>
            </w:r>
          </w:p>
          <w:p w:rsidR="00036D10" w:rsidRDefault="00036D10" w:rsidP="00CC6E35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72D1E" w:rsidRPr="00EA4DE0" w:rsidRDefault="00A72D1E" w:rsidP="00A72D1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hy-AM" w:eastAsia="ru-RU"/>
        </w:rPr>
      </w:pPr>
    </w:p>
    <w:p w:rsidR="00001AD4" w:rsidRPr="00EA4DE0" w:rsidRDefault="00A72D1E" w:rsidP="00D56301">
      <w:pPr>
        <w:spacing w:after="0" w:line="240" w:lineRule="auto"/>
        <w:ind w:right="270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hy-AM" w:eastAsia="ru-RU"/>
        </w:rPr>
      </w:pPr>
      <w:r w:rsidRPr="006301B2">
        <w:rPr>
          <w:rFonts w:ascii="Times New Roman" w:eastAsia="Times New Roman" w:hAnsi="Times New Roman" w:cs="Times New Roman"/>
          <w:b/>
          <w:bCs/>
          <w:sz w:val="24"/>
          <w:szCs w:val="24"/>
          <w:lang w:val="hy-AM" w:eastAsia="ru-RU"/>
        </w:rPr>
        <w:t>ТЕХНИЧЕСКИЕ ХАРАКТЕРИСТИКИ</w:t>
      </w:r>
      <w:r w:rsidR="00001AD4" w:rsidRPr="00001AD4">
        <w:rPr>
          <w:rFonts w:ascii="Sylfaen" w:eastAsia="Times New Roman" w:hAnsi="Sylfaen" w:cs="Calibri"/>
          <w:b/>
          <w:bCs/>
          <w:sz w:val="24"/>
          <w:szCs w:val="24"/>
        </w:rPr>
        <w:t xml:space="preserve"> </w:t>
      </w:r>
      <w:r w:rsidR="00001AD4">
        <w:rPr>
          <w:rFonts w:ascii="Sylfaen" w:eastAsia="Times New Roman" w:hAnsi="Sylfaen" w:cs="Calibri"/>
          <w:b/>
          <w:bCs/>
          <w:sz w:val="24"/>
          <w:szCs w:val="24"/>
          <w:lang w:val="hy-AM"/>
        </w:rPr>
        <w:t xml:space="preserve">                                                                          </w:t>
      </w:r>
      <w:r w:rsidR="00001AD4">
        <w:rPr>
          <w:rFonts w:ascii="Sylfaen" w:eastAsia="Times New Roman" w:hAnsi="Sylfaen" w:cs="Calibri"/>
          <w:b/>
          <w:bCs/>
          <w:sz w:val="24"/>
          <w:szCs w:val="24"/>
        </w:rPr>
        <w:t>Пр</w:t>
      </w:r>
      <w:bookmarkStart w:id="0" w:name="_GoBack"/>
      <w:bookmarkEnd w:id="0"/>
      <w:r w:rsidR="00001AD4">
        <w:rPr>
          <w:rFonts w:ascii="Sylfaen" w:eastAsia="Times New Roman" w:hAnsi="Sylfaen" w:cs="Calibri"/>
          <w:b/>
          <w:bCs/>
          <w:sz w:val="24"/>
          <w:szCs w:val="24"/>
        </w:rPr>
        <w:t>иложение</w:t>
      </w:r>
      <w:r w:rsidR="00001AD4" w:rsidRPr="00316799">
        <w:rPr>
          <w:rFonts w:ascii="Sylfaen" w:eastAsia="Times New Roman" w:hAnsi="Sylfaen" w:cs="Calibri"/>
          <w:b/>
          <w:bCs/>
          <w:sz w:val="24"/>
          <w:szCs w:val="24"/>
          <w:lang w:val="hy-AM"/>
        </w:rPr>
        <w:t xml:space="preserve"> 1</w:t>
      </w:r>
    </w:p>
    <w:p w:rsidR="00A72D1E" w:rsidRDefault="00A72D1E" w:rsidP="00A72D1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hy-AM" w:eastAsia="ru-RU"/>
        </w:rPr>
      </w:pPr>
    </w:p>
    <w:p w:rsidR="00A72D1E" w:rsidRDefault="00A72D1E" w:rsidP="00A72D1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hy-AM" w:eastAsia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9"/>
      </w:tblGrid>
      <w:tr w:rsidR="00A72D1E" w:rsidTr="00DF01B0">
        <w:tc>
          <w:tcPr>
            <w:tcW w:w="15559" w:type="dxa"/>
          </w:tcPr>
          <w:p w:rsidR="00A72D1E" w:rsidRDefault="00A72D1E" w:rsidP="00DF01B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</w:pPr>
            <w:r w:rsidRPr="00630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>Технические характеристики режима оценки трабекулярной кости (TBS) при денситометрии</w:t>
            </w:r>
          </w:p>
          <w:p w:rsidR="00A72D1E" w:rsidRPr="00C653AC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</w:t>
            </w: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A72D1E" w:rsidRPr="006301B2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TBS используется для оценки микроструктуры кости и риска переломов, дополняя стандартные измерения минеральной плотности кости (МПК), полученные с помощью двухэнергетического рентгеновского анализа (DXA).</w:t>
            </w:r>
          </w:p>
          <w:p w:rsidR="00A72D1E" w:rsidRPr="006301B2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Основания</w:t>
            </w:r>
            <w:r w:rsidRPr="00630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A72D1E" w:rsidRPr="00C653AC" w:rsidRDefault="00A72D1E" w:rsidP="00DF01B0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TBS оценивает текстуру трабекулярной кости путем анализа уровней серого пикселей изображений DXA,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2D1E" w:rsidRPr="00C653AC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Pr="00630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Корректирование</w:t>
            </w: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A72D1E" w:rsidRDefault="00A72D1E" w:rsidP="00DF01B0">
            <w:pPr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TBS рассчитывается с использованием одновременных изображений DXA в области L1-L4 и не требует дополнительного облучения. </w:t>
            </w:r>
          </w:p>
          <w:p w:rsidR="00A72D1E" w:rsidRPr="006301B2" w:rsidRDefault="00A72D1E" w:rsidP="00DF01B0">
            <w:pPr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Критическое значение:</w:t>
            </w:r>
          </w:p>
          <w:p w:rsidR="00A72D1E" w:rsidRPr="006301B2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Высокие значения TBS указывают на лучшую микроструктуру кости, тогда как низкие значения могут означать снижение качества кости и более высокий риск переломов.</w:t>
            </w:r>
          </w:p>
          <w:p w:rsidR="00A72D1E" w:rsidRPr="006301B2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Единицы</w:t>
            </w:r>
          </w:p>
          <w:p w:rsidR="00A72D1E" w:rsidRPr="00C653AC" w:rsidRDefault="00A72D1E" w:rsidP="00DF01B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TBS выражаются обычно в диапазоне от 0,0 до 1,0 или выше, причем более высокие значения указывают на лучшее качество кости.</w:t>
            </w:r>
          </w:p>
          <w:p w:rsidR="00A72D1E" w:rsidRPr="00C653AC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6. </w:t>
            </w:r>
            <w:r w:rsidRPr="00630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Статистика:</w:t>
            </w:r>
          </w:p>
          <w:p w:rsidR="00A72D1E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 использовать оборудование DXA, которое поддерживается и адаптировано к программе TBS</w:t>
            </w:r>
          </w:p>
          <w:p w:rsidR="00A72D1E" w:rsidRDefault="00A72D1E" w:rsidP="00DF01B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0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 Подготовка пациентов:</w:t>
            </w:r>
          </w:p>
          <w:p w:rsidR="00A72D1E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 при ДРА, пациенты должны носить свободную одежду и снимать любые металлические предметы (например, украшения), чтобы избежать помех для изображения.</w:t>
            </w:r>
          </w:p>
          <w:p w:rsidR="00A72D1E" w:rsidRDefault="00A72D1E" w:rsidP="00DF01B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3A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 Факторы, влияющие на TBS:</w:t>
            </w:r>
          </w:p>
          <w:p w:rsidR="00A72D1E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TBS может влиять ряд факторов, включая возраст, пол, индекс массы тела (ИМТ) и определенные заболевания.</w:t>
            </w:r>
          </w:p>
          <w:p w:rsidR="00A72D1E" w:rsidRPr="00183A92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A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183A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>линическое применение</w:t>
            </w:r>
            <w:r w:rsidRPr="00183A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A72D1E" w:rsidRPr="00183A92" w:rsidRDefault="00A72D1E" w:rsidP="00DF01B0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</w:pPr>
            <w:r w:rsidRPr="00183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TBS может быть особенно полезен при оценке риска переломов у пациентов с остеопенией или нормальной BMD, а также у лиц с другими факторами риска.</w:t>
            </w:r>
          </w:p>
          <w:p w:rsidR="00A72D1E" w:rsidRDefault="00A72D1E" w:rsidP="00DF01B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</w:pPr>
            <w:r w:rsidRPr="00183A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>Преимущества совместного измерения TBS и стандартных Z или T-точек</w:t>
            </w:r>
          </w:p>
          <w:p w:rsidR="00A72D1E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183A92"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Комбинированное измерение стандартных Z- или T-показателей с использованием TBS (оценка трабекулярной кости) и DXA имеет несколько преимуществ:</w:t>
            </w:r>
          </w:p>
          <w:p w:rsidR="00A72D1E" w:rsidRPr="00183A92" w:rsidRDefault="00A72D1E" w:rsidP="00DF01B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</w:pPr>
            <w:r w:rsidRPr="00183A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>Более полная оценка.</w:t>
            </w:r>
          </w:p>
          <w:p w:rsidR="00A72D1E" w:rsidRPr="00183A92" w:rsidRDefault="00A72D1E" w:rsidP="00DF01B0">
            <w:pPr>
              <w:numPr>
                <w:ilvl w:val="0"/>
                <w:numId w:val="11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A92"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Z- и T-показатели отображают минеральную плотность кости, а TBS оценивает микроструктуру и качество кости, что позволяет получить более детальное представление о здоровье костей.</w:t>
            </w:r>
          </w:p>
          <w:p w:rsidR="00A72D1E" w:rsidRPr="00183A92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A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Более точный прогноз риска переломов.</w:t>
            </w:r>
          </w:p>
          <w:p w:rsidR="00A72D1E" w:rsidRDefault="00A72D1E" w:rsidP="00DF01B0">
            <w:pPr>
              <w:numPr>
                <w:ilvl w:val="0"/>
                <w:numId w:val="11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TBS в сочетании с 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BMD</w:t>
            </w:r>
            <w:r w:rsidRPr="00183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может повысить точность оценки риска переломов, особенно для людей с нормальной МПК, но с другими факторами риска.</w:t>
            </w:r>
          </w:p>
          <w:p w:rsidR="00A72D1E" w:rsidRPr="00183A92" w:rsidRDefault="00A72D1E" w:rsidP="00DF01B0">
            <w:pPr>
              <w:numPr>
                <w:ilvl w:val="0"/>
                <w:numId w:val="11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A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качества микроструктуры</w:t>
            </w: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A72D1E" w:rsidRDefault="00A72D1E" w:rsidP="00DF01B0">
            <w:pPr>
              <w:numPr>
                <w:ilvl w:val="0"/>
                <w:numId w:val="11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TBS способен выявить случаи, когда </w:t>
            </w:r>
            <w:r w:rsidRPr="00C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BMD</w:t>
            </w:r>
            <w:r w:rsidRPr="00183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норме, но качество (микроструктура) кости нарушено, что увеличивает риск переломов.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2D1E" w:rsidRPr="00183A92" w:rsidRDefault="00A72D1E" w:rsidP="00DF01B0">
            <w:pPr>
              <w:numPr>
                <w:ilvl w:val="0"/>
                <w:numId w:val="11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Повысить качество медицинских решений</w:t>
            </w:r>
            <w:r w:rsidRPr="00183A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A72D1E" w:rsidRPr="0094008D" w:rsidRDefault="00A72D1E" w:rsidP="00DF01B0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0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Объединенные данные TBS и BMD позволяют принимать более обоснованные клинические решения, что может способствовать выбору более эффективных подходов к лечению.</w:t>
            </w:r>
          </w:p>
          <w:p w:rsidR="00A72D1E" w:rsidRPr="00C653AC" w:rsidRDefault="00A72D1E" w:rsidP="00DF01B0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Vertebral Fracture Assessment (VFA) </w:t>
            </w:r>
          </w:p>
          <w:p w:rsidR="00A72D1E" w:rsidRPr="00C653AC" w:rsidRDefault="00A72D1E" w:rsidP="00DF01B0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</w:pPr>
            <w:r w:rsidRPr="00940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>Оценка переломов позвонков</w:t>
            </w:r>
          </w:p>
          <w:p w:rsidR="00A72D1E" w:rsidRDefault="00A72D1E" w:rsidP="00A72D1E">
            <w:pPr>
              <w:pStyle w:val="ListParagraph"/>
              <w:numPr>
                <w:ilvl w:val="1"/>
                <w:numId w:val="2"/>
              </w:numPr>
              <w:tabs>
                <w:tab w:val="clear" w:pos="1440"/>
              </w:tabs>
              <w:ind w:left="45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0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</w:t>
            </w:r>
          </w:p>
          <w:p w:rsidR="00A72D1E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VFA используется для оценки переломов позвонков, особенно у пациентов с остеопорозом.</w:t>
            </w:r>
          </w:p>
          <w:p w:rsidR="00A72D1E" w:rsidRPr="0094008D" w:rsidRDefault="00A72D1E" w:rsidP="00DF01B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0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Основания</w:t>
            </w:r>
            <w:r w:rsidRPr="00940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A72D1E" w:rsidRPr="00C653AC" w:rsidRDefault="00A72D1E" w:rsidP="00DF01B0">
            <w:pPr>
              <w:numPr>
                <w:ilvl w:val="0"/>
                <w:numId w:val="13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VFA использует оборудование DXA для получения изображений позвоночника (в основном Th1-L4) и оценки ламинарной структуры позвоночника.</w:t>
            </w:r>
          </w:p>
          <w:p w:rsidR="00A72D1E" w:rsidRPr="00C653AC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Pr="00940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Корректиров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</w:t>
            </w: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A72D1E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VFA проводится одновременно с исследованием DXA, а это означает, что нет необходимости в дополнительном облучении, как при рентгенологическом исследовании.</w:t>
            </w:r>
          </w:p>
          <w:p w:rsidR="00A72D1E" w:rsidRPr="0094008D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Возможности:</w:t>
            </w:r>
          </w:p>
          <w:p w:rsidR="00A72D1E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VFA может обнаружить ранее неуточненные переломы, которые могут не иметь явных клинических признаков.</w:t>
            </w:r>
          </w:p>
          <w:p w:rsidR="00A72D1E" w:rsidRPr="0094008D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 </w:t>
            </w:r>
            <w:r w:rsidRPr="001F7F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Наблюдение</w:t>
            </w:r>
            <w:r w:rsidRPr="00940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A72D1E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VFA оценивает тяжесть переломов позвонков, что может повлиять на выбор пациентом стратегии лечения.</w:t>
            </w:r>
          </w:p>
          <w:p w:rsidR="00A72D1E" w:rsidRPr="00674C48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Ключевые слова:</w:t>
            </w:r>
          </w:p>
          <w:p w:rsidR="00A72D1E" w:rsidRDefault="00A72D1E" w:rsidP="00DF01B0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VFA предлагает последовательную и последовательную оценку, поскольку использует стандартные методы DXA.</w:t>
            </w:r>
          </w:p>
          <w:p w:rsidR="00A72D1E" w:rsidRPr="00674C48" w:rsidRDefault="00A72D1E" w:rsidP="00DF01B0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</w:pPr>
          </w:p>
          <w:p w:rsidR="00A72D1E" w:rsidRDefault="00A72D1E" w:rsidP="00DF01B0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</w:pPr>
            <w:r w:rsidRPr="00674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  <w:t>Преимущества оценки переломов позвонков при сочетании стандартных измерений DXA</w:t>
            </w:r>
          </w:p>
          <w:p w:rsidR="00A72D1E" w:rsidRPr="00C653AC" w:rsidRDefault="00A72D1E" w:rsidP="00DF01B0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 w:eastAsia="ru-RU"/>
              </w:rPr>
            </w:pPr>
          </w:p>
          <w:p w:rsidR="00A72D1E" w:rsidRPr="00C653AC" w:rsidRDefault="00A72D1E" w:rsidP="00DF01B0">
            <w:pPr>
              <w:numPr>
                <w:ilvl w:val="0"/>
                <w:numId w:val="1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Основная информация</w:t>
            </w: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A72D1E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VFA позволяет врачам более точно оценить состояние здоровья позвоночника и наличие у данного пациента ранее переломов, что важно для принятия решения о лечении.</w:t>
            </w:r>
          </w:p>
          <w:p w:rsidR="00A72D1E" w:rsidRPr="00674C48" w:rsidRDefault="00A72D1E" w:rsidP="00DF01B0">
            <w:pPr>
              <w:numPr>
                <w:ilvl w:val="1"/>
                <w:numId w:val="1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Повысьте точность оценки риска переломов </w:t>
            </w:r>
          </w:p>
          <w:p w:rsidR="00A72D1E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VFA в сочетании с DXA может повысить общую точность оценки риска переломов, особенно для пациентов с нормальной МПКТ, но имеющими другие факторы риска.</w:t>
            </w:r>
          </w:p>
          <w:p w:rsidR="00A72D1E" w:rsidRPr="00C653AC" w:rsidRDefault="00A72D1E" w:rsidP="00DF01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Пр</w:t>
            </w:r>
            <w:proofErr w:type="spellEnd"/>
            <w:r w:rsidRPr="00674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необходимости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э</w:t>
            </w:r>
            <w:r w:rsidRPr="00674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ффективно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сть</w:t>
            </w:r>
            <w:proofErr w:type="spellEnd"/>
            <w:r w:rsidRPr="00674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лечени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я</w:t>
            </w:r>
            <w:r w:rsidRPr="00C65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A72D1E" w:rsidRPr="00C653AC" w:rsidRDefault="00A72D1E" w:rsidP="00DF01B0">
            <w:pPr>
              <w:numPr>
                <w:ilvl w:val="1"/>
                <w:numId w:val="1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VFA может подтвердить или исключить травмы позвоночника, что может способствовать раннему и эффективному лечению.</w:t>
            </w:r>
          </w:p>
          <w:p w:rsidR="00A72D1E" w:rsidRPr="00674C48" w:rsidRDefault="00A72D1E" w:rsidP="00DF01B0">
            <w:pPr>
              <w:numPr>
                <w:ilvl w:val="0"/>
                <w:numId w:val="1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 для планирования лечения.</w:t>
            </w:r>
          </w:p>
          <w:p w:rsidR="00A72D1E" w:rsidRPr="00674C48" w:rsidRDefault="00A72D1E" w:rsidP="00DF01B0">
            <w:pPr>
              <w:numPr>
                <w:ilvl w:val="0"/>
                <w:numId w:val="1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Вместе VFA и DXA дают полную картину состояния костей, что позволяет медицинским работникам принимать более обоснованные решения о ходе лечения.</w:t>
            </w:r>
          </w:p>
          <w:p w:rsidR="00A72D1E" w:rsidRPr="00674C48" w:rsidRDefault="00A72D1E" w:rsidP="00DF01B0">
            <w:pPr>
              <w:numPr>
                <w:ilvl w:val="1"/>
                <w:numId w:val="18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Совместная оценка факторов риска.</w:t>
            </w:r>
          </w:p>
          <w:p w:rsidR="00A72D1E" w:rsidRPr="00674C48" w:rsidRDefault="00A72D1E" w:rsidP="00DF01B0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Вместе VFA и DXA могут обеспечить единую картину, включающую как минеральную плотность, так и структуру позвоночника, что повышает универсальность оценки.</w:t>
            </w:r>
          </w:p>
        </w:tc>
      </w:tr>
    </w:tbl>
    <w:p w:rsidR="00990AA8" w:rsidRDefault="00990AA8" w:rsidP="00CC6E3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0AA8" w:rsidRDefault="00990AA8" w:rsidP="00CC6E3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0AA8" w:rsidRDefault="00990AA8" w:rsidP="00CC6E3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0AA8" w:rsidRDefault="00990AA8" w:rsidP="00CC6E3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0AA8" w:rsidRDefault="00990AA8" w:rsidP="00CC6E3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990AA8" w:rsidSect="004D31CD">
      <w:pgSz w:w="16838" w:h="11906" w:orient="landscape"/>
      <w:pgMar w:top="630" w:right="188" w:bottom="45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notTrueType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D3011"/>
    <w:multiLevelType w:val="multilevel"/>
    <w:tmpl w:val="80E68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BE2D99"/>
    <w:multiLevelType w:val="multilevel"/>
    <w:tmpl w:val="0CCAE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B27AE8"/>
    <w:multiLevelType w:val="multilevel"/>
    <w:tmpl w:val="B49C7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350008"/>
    <w:multiLevelType w:val="multilevel"/>
    <w:tmpl w:val="DC122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706B70"/>
    <w:multiLevelType w:val="multilevel"/>
    <w:tmpl w:val="E9646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D14B8D"/>
    <w:multiLevelType w:val="multilevel"/>
    <w:tmpl w:val="3858E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162FA7"/>
    <w:multiLevelType w:val="multilevel"/>
    <w:tmpl w:val="D1E8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B445F4"/>
    <w:multiLevelType w:val="multilevel"/>
    <w:tmpl w:val="AEB4D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622AAD"/>
    <w:multiLevelType w:val="multilevel"/>
    <w:tmpl w:val="CD98C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EF4EDE"/>
    <w:multiLevelType w:val="multilevel"/>
    <w:tmpl w:val="C4EAF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7B3D5B"/>
    <w:multiLevelType w:val="multilevel"/>
    <w:tmpl w:val="38464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867BE2"/>
    <w:multiLevelType w:val="multilevel"/>
    <w:tmpl w:val="C1660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B8186C"/>
    <w:multiLevelType w:val="multilevel"/>
    <w:tmpl w:val="52F03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A60B05"/>
    <w:multiLevelType w:val="multilevel"/>
    <w:tmpl w:val="FBAED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E94143"/>
    <w:multiLevelType w:val="multilevel"/>
    <w:tmpl w:val="B26A1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856DE9"/>
    <w:multiLevelType w:val="multilevel"/>
    <w:tmpl w:val="C5E44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53227A"/>
    <w:multiLevelType w:val="multilevel"/>
    <w:tmpl w:val="AD82E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E415D58"/>
    <w:multiLevelType w:val="multilevel"/>
    <w:tmpl w:val="A03C8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10"/>
  </w:num>
  <w:num w:numId="6">
    <w:abstractNumId w:val="14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16"/>
  </w:num>
  <w:num w:numId="12">
    <w:abstractNumId w:val="17"/>
  </w:num>
  <w:num w:numId="13">
    <w:abstractNumId w:val="8"/>
  </w:num>
  <w:num w:numId="14">
    <w:abstractNumId w:val="15"/>
  </w:num>
  <w:num w:numId="15">
    <w:abstractNumId w:val="7"/>
  </w:num>
  <w:num w:numId="16">
    <w:abstractNumId w:val="6"/>
  </w:num>
  <w:num w:numId="17">
    <w:abstractNumId w:val="1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A16"/>
    <w:rsid w:val="00001AD4"/>
    <w:rsid w:val="00036D10"/>
    <w:rsid w:val="00101A19"/>
    <w:rsid w:val="001852AC"/>
    <w:rsid w:val="00187508"/>
    <w:rsid w:val="001923F4"/>
    <w:rsid w:val="00211491"/>
    <w:rsid w:val="00244580"/>
    <w:rsid w:val="00316799"/>
    <w:rsid w:val="00331171"/>
    <w:rsid w:val="003558F4"/>
    <w:rsid w:val="004721B6"/>
    <w:rsid w:val="004D31CD"/>
    <w:rsid w:val="00573C34"/>
    <w:rsid w:val="005D4391"/>
    <w:rsid w:val="00623082"/>
    <w:rsid w:val="006F78D9"/>
    <w:rsid w:val="007C3401"/>
    <w:rsid w:val="007D4CFF"/>
    <w:rsid w:val="008B2F1F"/>
    <w:rsid w:val="008E4991"/>
    <w:rsid w:val="00905BAA"/>
    <w:rsid w:val="00942467"/>
    <w:rsid w:val="00975A19"/>
    <w:rsid w:val="00980A16"/>
    <w:rsid w:val="00990AA8"/>
    <w:rsid w:val="009E726B"/>
    <w:rsid w:val="00A24F26"/>
    <w:rsid w:val="00A43228"/>
    <w:rsid w:val="00A72D1E"/>
    <w:rsid w:val="00AD16CA"/>
    <w:rsid w:val="00AE21F4"/>
    <w:rsid w:val="00B419A9"/>
    <w:rsid w:val="00B84D68"/>
    <w:rsid w:val="00BB457C"/>
    <w:rsid w:val="00BB4D40"/>
    <w:rsid w:val="00C64CAB"/>
    <w:rsid w:val="00C653AC"/>
    <w:rsid w:val="00CC6E35"/>
    <w:rsid w:val="00D10A43"/>
    <w:rsid w:val="00D56301"/>
    <w:rsid w:val="00DA7831"/>
    <w:rsid w:val="00DC078F"/>
    <w:rsid w:val="00E002B8"/>
    <w:rsid w:val="00E34208"/>
    <w:rsid w:val="00E74E8F"/>
    <w:rsid w:val="00E80736"/>
    <w:rsid w:val="00EA4DE0"/>
    <w:rsid w:val="00EA67AC"/>
    <w:rsid w:val="00FD084C"/>
    <w:rsid w:val="00FE47DC"/>
    <w:rsid w:val="00FE6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C0FD58-DB41-453E-9926-624F29912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5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5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3A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36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2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68B31-438B-4FB7-BAEF-43398C562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1527</Words>
  <Characters>8705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2025-01-10T07:32:00Z</cp:lastPrinted>
  <dcterms:created xsi:type="dcterms:W3CDTF">2025-01-17T05:49:00Z</dcterms:created>
  <dcterms:modified xsi:type="dcterms:W3CDTF">2025-02-05T06:16:00Z</dcterms:modified>
</cp:coreProperties>
</file>